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43303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43303E" w:rsidRPr="0043303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Start w:id="0" w:name="_GoBack"/>
            <w:r w:rsidR="0043303E" w:rsidRPr="004330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uchwały RM w</w:t>
            </w:r>
            <w:r w:rsidR="004330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3303E" w:rsidRPr="004330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sprawie przyjęcia programu "Pomoc Techniczna dla Funduszy Europejskich" na lata 2021 – 2027</w:t>
            </w:r>
          </w:p>
          <w:bookmarkEnd w:id="0"/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3303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Default="004330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Priorytet 1</w:t>
            </w:r>
          </w:p>
          <w:p w:rsidR="0043303E" w:rsidRPr="00A06425" w:rsidRDefault="0043303E" w:rsidP="0043303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Priorytet 2 s.19</w:t>
            </w:r>
          </w:p>
        </w:tc>
        <w:tc>
          <w:tcPr>
            <w:tcW w:w="4678" w:type="dxa"/>
            <w:shd w:val="clear" w:color="auto" w:fill="auto"/>
          </w:tcPr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Pr="004330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rojekt uchwały RM w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4330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sprawie przyjęcia programu "Pomoc Techniczna dla Funduszy Europejskich" na lata 2021 – 2027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został skonsultowany z Departamentem Gwarancji i Poręczeń w Banku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Gospodarstwa Krajowego (BGK DGP), odpowiedzialnym m.in. za udzielanie poręczeń i gwarancji 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ramach rządowych programów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poręczeniowo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-gwarancyjnych realizowanych z wykorzystaniem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środków pochodzących z funduszy Unii Europejskiej. Poniżej przekazujemy opinię BGK DGP 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omawianej sprawie.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„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Odnosząc się do </w:t>
            </w:r>
            <w:r w:rsidRPr="00433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Programu Pomoc Techniczna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należałoby zauważyć, że w systemie wdrażania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polityki spójności funkcjonujemy (BGK DGP) jako beneficjent w formie podmiotu wdrażającego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instrument finansowy i tym samym nasze koszty operacyjne mogą być finansowane bezpośrednio z</w:t>
            </w:r>
          </w:p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alokacji instrumentu finansowego w formie opłaty za zarządzanie. Nie możemy natomiast tych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kosztów finansować w ramach Priorytetu 1 Programu Pomoc Techniczna.</w:t>
            </w:r>
          </w:p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433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Nieco inaczej wygląda zakres finansowania ujęty w Priorytecie 2 Programu</w:t>
            </w:r>
            <w:r>
              <w:rPr>
                <w:rFonts w:ascii="Calibri" w:hAnsi="Calibri" w:cs="Calibri"/>
                <w:sz w:val="22"/>
                <w:szCs w:val="22"/>
              </w:rPr>
              <w:t>, gdzie wsparcie ma</w:t>
            </w:r>
          </w:p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zostać skierowane do beneficjentów funduszy europejskich (m.in. na doradztwo, ekspertyzy,</w:t>
            </w:r>
          </w:p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szkolenia). Głównym mechanizmem wdrożeniowym będą projekty grantowe lub konkursy dotacji 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wybranych obszarach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skierowane do ostatecznych odbiorców lub beneficjentów. Z opisu grupy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docelowej Priorytetu 2 </w:t>
            </w:r>
            <w:r w:rsidRPr="00433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(str. 19)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nie wynika, że uprawnieni są również beneficjenci instytucjonalni,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którzy wdrażają instrumenty finansowe. W związku z tym należy to doprecyzować. Wówczas</w:t>
            </w:r>
          </w:p>
          <w:p w:rsidR="00A06425" w:rsidRPr="00A06425" w:rsidRDefault="0043303E" w:rsidP="004330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pojawiłaby się szansa na realizację dodatkowych projektów podnoszących kompetencje związane z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wdrażaniem produktów gwarancyjnych, w tym w szczególności na poziomie instytucji finansowych.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3303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330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Ogólna </w:t>
            </w:r>
          </w:p>
        </w:tc>
        <w:tc>
          <w:tcPr>
            <w:tcW w:w="4678" w:type="dxa"/>
            <w:shd w:val="clear" w:color="auto" w:fill="auto"/>
          </w:tcPr>
          <w:p w:rsidR="0043303E" w:rsidRDefault="0043303E" w:rsidP="0043303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art. 3 pkt 5 ustawy z dnia 6 maja 2005 r. Ustawy o Komisji Wspólnej Rządu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 Samorządu Terytorialnego oraz o przedstawicielach Rzeczypospolitej Polskiej w Komitecie Regionów</w:t>
            </w:r>
          </w:p>
          <w:p w:rsidR="00A06425" w:rsidRPr="00A06425" w:rsidRDefault="0043303E" w:rsidP="004330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Unii Europejskiej, do zadań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KWRiST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należy opiniowanie programów i innych dokumentów rządowych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dotyczących problematyki samorządu terytorialnego. Ponadto, zgodnie z art. 2 ust. 2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KWRiST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rozpatruje także sprawy dotyczące samorządu terytorialnego znajdujące się w zakresie działania Unii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Europejskiej i organizacji międzynarodowych, do których Rzeczpospolita Polska należy.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3303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rojekt uchwały dotyczy samorządu terytorialnego, zdaniem MF powinien zostać przedłożony do zaopiniowania Komisji Wspólnej Rządu i Samorządu Terytorialnego.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97FE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MF 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97FE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Uzasadnienie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97FE2" w:rsidP="00597F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A583F">
              <w:rPr>
                <w:rFonts w:asciiTheme="minorHAnsi" w:hAnsiTheme="minorHAnsi" w:cstheme="minorHAnsi"/>
                <w:sz w:val="22"/>
                <w:szCs w:val="22"/>
              </w:rPr>
              <w:t>godnie z §27 ust.3 pkt 4 a) Uchwały nr 190 Rady Ministrów „Regulamin pracy Rady Ministrów”, uzasadnienie do projektu aktu normatywnego powinno zawierać: oświadczenie organu wnioskującego co do zgodności projektu z prawem Unii Europejskiej. Natomiast zgodnie z ust.4 w projekcie dokumentu rządowego albo jego uzasadnieniu, jeżeli jest sporządzane, przedstawia się informację dotyczącą przedstawienia projektu właściwym organom i instytucjom Unii Europejskiej, w tym Europejskiemu Bankowi Centralnemu, w celu uzyskania opinii, dokonania powiadomienia, konsultacji albo uzgodnienia. W uzasadnieniu do tego projektu zabrakło informacji w tym zakresie.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597FE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Uzupełnienie przez Autorów o brakujące informacje.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3303E"/>
    <w:rsid w:val="004D086F"/>
    <w:rsid w:val="00597FE2"/>
    <w:rsid w:val="005F6527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2</cp:revision>
  <dcterms:created xsi:type="dcterms:W3CDTF">2021-09-29T08:15:00Z</dcterms:created>
  <dcterms:modified xsi:type="dcterms:W3CDTF">2021-09-29T08:15:00Z</dcterms:modified>
</cp:coreProperties>
</file>